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12" w:rsidRDefault="003D4212" w:rsidP="003D4212">
      <w:r>
        <w:rPr>
          <w:b/>
        </w:rPr>
        <w:t>P</w:t>
      </w:r>
      <w:r w:rsidRPr="00D07158">
        <w:rPr>
          <w:b/>
        </w:rPr>
        <w:t xml:space="preserve">ublication </w:t>
      </w:r>
      <w:r>
        <w:rPr>
          <w:b/>
        </w:rPr>
        <w:t>of d</w:t>
      </w:r>
      <w:r w:rsidRPr="00D07158">
        <w:rPr>
          <w:b/>
        </w:rPr>
        <w:t xml:space="preserve">eaths </w:t>
      </w:r>
      <w:r w:rsidR="007B15A6" w:rsidRPr="00D07158">
        <w:rPr>
          <w:b/>
        </w:rPr>
        <w:t xml:space="preserve">by occupation </w:t>
      </w:r>
      <w:r w:rsidRPr="00D07158">
        <w:rPr>
          <w:b/>
        </w:rPr>
        <w:t xml:space="preserve">involving COVID-19 </w:t>
      </w:r>
    </w:p>
    <w:p w:rsidR="003D4212" w:rsidRDefault="003D4212" w:rsidP="003D4212"/>
    <w:p w:rsidR="00E3070C" w:rsidRDefault="00061099" w:rsidP="003D4212">
      <w:r>
        <w:t>T</w:t>
      </w:r>
      <w:r w:rsidR="00D420AB">
        <w:t>he</w:t>
      </w:r>
      <w:r w:rsidR="003D4212" w:rsidRPr="006A697D">
        <w:t xml:space="preserve"> Office for National Statistics’ (ONS) </w:t>
      </w:r>
      <w:r w:rsidR="003D4212">
        <w:t xml:space="preserve">statistical bulletins </w:t>
      </w:r>
      <w:r w:rsidR="00EA17F9">
        <w:t>analysing</w:t>
      </w:r>
      <w:r w:rsidR="00EA17F9" w:rsidRPr="00EA17F9">
        <w:t xml:space="preserve"> Covid-19 deaths by occupation</w:t>
      </w:r>
      <w:r w:rsidR="00EA17F9">
        <w:t xml:space="preserve"> are arguably misleading because they include only </w:t>
      </w:r>
      <w:r w:rsidR="00E3070C">
        <w:t>–</w:t>
      </w:r>
    </w:p>
    <w:p w:rsidR="00E3070C" w:rsidRDefault="00EA17F9" w:rsidP="00E3070C">
      <w:pPr>
        <w:pStyle w:val="ListParagraph"/>
        <w:numPr>
          <w:ilvl w:val="0"/>
          <w:numId w:val="2"/>
        </w:numPr>
      </w:pPr>
      <w:r>
        <w:t>professional occupations in education but all occupation</w:t>
      </w:r>
      <w:r w:rsidR="00E3070C">
        <w:t>s</w:t>
      </w:r>
      <w:r>
        <w:t xml:space="preserve"> in health and social</w:t>
      </w:r>
      <w:r w:rsidR="007B15A6">
        <w:t xml:space="preserve"> care; </w:t>
      </w:r>
    </w:p>
    <w:p w:rsidR="00E3070C" w:rsidRDefault="00E3070C" w:rsidP="00E3070C">
      <w:pPr>
        <w:pStyle w:val="ListParagraph"/>
        <w:numPr>
          <w:ilvl w:val="0"/>
          <w:numId w:val="2"/>
        </w:numPr>
      </w:pPr>
      <w:r>
        <w:t>staff between the ages of 20 to 64</w:t>
      </w:r>
      <w:r w:rsidR="00342FFD">
        <w:t xml:space="preserve"> and not 65 and older</w:t>
      </w:r>
      <w:r w:rsidR="007B15A6">
        <w:t xml:space="preserve">; and </w:t>
      </w:r>
    </w:p>
    <w:p w:rsidR="007B15A6" w:rsidRDefault="00F90F92" w:rsidP="00F90F92">
      <w:pPr>
        <w:pStyle w:val="ListParagraph"/>
        <w:numPr>
          <w:ilvl w:val="0"/>
          <w:numId w:val="2"/>
        </w:numPr>
      </w:pPr>
      <w:r w:rsidRPr="00F90F92">
        <w:t>Hospitals and care homes</w:t>
      </w:r>
      <w:r>
        <w:t xml:space="preserve"> </w:t>
      </w:r>
      <w:r w:rsidRPr="00F90F92">
        <w:t xml:space="preserve">would have been </w:t>
      </w:r>
      <w:r>
        <w:t>open 24/7 the whole time,</w:t>
      </w:r>
      <w:r w:rsidRPr="00F90F92">
        <w:t xml:space="preserve"> </w:t>
      </w:r>
      <w:r>
        <w:t>whereas</w:t>
      </w:r>
      <w:r w:rsidRPr="00F90F92">
        <w:t xml:space="preserve"> schools</w:t>
      </w:r>
      <w:r>
        <w:t xml:space="preserve"> were probably only open for</w:t>
      </w:r>
      <w:r w:rsidR="0086274A">
        <w:t xml:space="preserve"> up to</w:t>
      </w:r>
      <w:r>
        <w:t xml:space="preserve"> half the time</w:t>
      </w:r>
      <w:r w:rsidRPr="00F90F92">
        <w:t xml:space="preserve">.  </w:t>
      </w:r>
    </w:p>
    <w:p w:rsidR="00E3070C" w:rsidRDefault="00E3070C" w:rsidP="003D4212"/>
    <w:p w:rsidR="00E3070C" w:rsidRDefault="00E3070C" w:rsidP="00342FFD">
      <w:r>
        <w:t>S</w:t>
      </w:r>
      <w:r w:rsidR="003D4212">
        <w:t xml:space="preserve">ee latest </w:t>
      </w:r>
      <w:r w:rsidR="0074162D">
        <w:t>release</w:t>
      </w:r>
      <w:r w:rsidR="003D4212">
        <w:t xml:space="preserve"> of the </w:t>
      </w:r>
      <w:hyperlink r:id="rId8" w:history="1">
        <w:r w:rsidR="003D4212" w:rsidRPr="006A697D">
          <w:rPr>
            <w:rStyle w:val="Hyperlink"/>
          </w:rPr>
          <w:t>Coronavirus (COVID-19) related deaths by occupation, England and Wales: deaths registered between 9 March and 28 December 2020</w:t>
        </w:r>
      </w:hyperlink>
      <w:r w:rsidR="003D4212" w:rsidRPr="006A697D">
        <w:t xml:space="preserve"> </w:t>
      </w:r>
      <w:r w:rsidR="003D4212">
        <w:t>statistical bulletin</w:t>
      </w:r>
      <w:r w:rsidR="003D4212" w:rsidRPr="006A697D">
        <w:t>, which was</w:t>
      </w:r>
      <w:r w:rsidR="003D4212">
        <w:t xml:space="preserve"> first</w:t>
      </w:r>
      <w:r w:rsidR="003D4212" w:rsidRPr="006A697D">
        <w:t xml:space="preserve"> published on </w:t>
      </w:r>
      <w:r w:rsidR="003D4212" w:rsidRPr="00D52D64">
        <w:t>25 January 2021</w:t>
      </w:r>
      <w:r>
        <w:t>.</w:t>
      </w:r>
    </w:p>
    <w:p w:rsidR="00331B7E" w:rsidRDefault="00331B7E" w:rsidP="003D4212"/>
    <w:p w:rsidR="00331B7E" w:rsidRDefault="00331B7E" w:rsidP="003D4212">
      <w:r>
        <w:t>The</w:t>
      </w:r>
      <w:r w:rsidR="00AE4DD0">
        <w:t xml:space="preserve"> fundamental</w:t>
      </w:r>
      <w:r>
        <w:t xml:space="preserve"> issue is not that the above release was arguably misleading</w:t>
      </w:r>
      <w:r w:rsidR="005E469A">
        <w:t xml:space="preserve"> – mistakes will always occur particularly in </w:t>
      </w:r>
      <w:r w:rsidR="00E65770">
        <w:t>contexts such as the Covid-19 pandemic</w:t>
      </w:r>
      <w:r w:rsidR="005E469A">
        <w:t xml:space="preserve"> –</w:t>
      </w:r>
      <w:r>
        <w:t xml:space="preserve"> but</w:t>
      </w:r>
      <w:r w:rsidR="005E469A">
        <w:t xml:space="preserve"> that</w:t>
      </w:r>
      <w:r w:rsidR="00342FFD">
        <w:t xml:space="preserve"> the</w:t>
      </w:r>
      <w:r w:rsidR="005E469A">
        <w:t xml:space="preserve"> ONS</w:t>
      </w:r>
      <w:r>
        <w:t xml:space="preserve"> </w:t>
      </w:r>
      <w:r w:rsidR="00342FFD">
        <w:t>response was to</w:t>
      </w:r>
      <w:r w:rsidR="00E65770">
        <w:t xml:space="preserve"> cease publication</w:t>
      </w:r>
      <w:r w:rsidR="00B44F4B">
        <w:t xml:space="preserve"> and refused to release data divided into shorter time intervals to allow meaningful comparison between education and</w:t>
      </w:r>
      <w:r w:rsidR="001F7FC6">
        <w:t xml:space="preserve"> health and social care</w:t>
      </w:r>
      <w:r>
        <w:t>.  However this would not be the first time that ONS in the words of Chris Giles (former FT economics editor) buried what i</w:t>
      </w:r>
      <w:r w:rsidR="008518F1">
        <w:t>t</w:t>
      </w:r>
      <w:r>
        <w:t xml:space="preserve"> found unhelpful – PACAC report, paragraphs 124 and 125</w:t>
      </w:r>
      <w:r w:rsidR="00EA17F9">
        <w:t>,</w:t>
      </w:r>
      <w:r>
        <w:t xml:space="preserve"> </w:t>
      </w:r>
      <w:hyperlink r:id="rId9" w:history="1">
        <w:r w:rsidR="008518F1" w:rsidRPr="00897029">
          <w:rPr>
            <w:rStyle w:val="Hyperlink"/>
          </w:rPr>
          <w:t>https://publications.parliament.uk/pa/cm201719/cmselect/cmpubadm/1820/1820.pdf</w:t>
        </w:r>
      </w:hyperlink>
      <w:r w:rsidR="008518F1">
        <w:t xml:space="preserve"> </w:t>
      </w:r>
    </w:p>
    <w:p w:rsidR="003D4212" w:rsidRDefault="003D4212" w:rsidP="003D4212"/>
    <w:p w:rsidR="003D4212" w:rsidRDefault="003D4212" w:rsidP="003D4212">
      <w:r>
        <w:t>The publi</w:t>
      </w:r>
      <w:r w:rsidR="0039321F">
        <w:t>cation of</w:t>
      </w:r>
      <w:r>
        <w:t xml:space="preserve"> information on </w:t>
      </w:r>
      <w:r w:rsidR="00EA17F9">
        <w:t>Covid-19 deaths by occupation wa</w:t>
      </w:r>
      <w:r>
        <w:t>s</w:t>
      </w:r>
      <w:r w:rsidR="0039321F">
        <w:t xml:space="preserve"> and remains</w:t>
      </w:r>
      <w:r>
        <w:t xml:space="preserve"> important for a number of reasons</w:t>
      </w:r>
      <w:r w:rsidR="00915C16">
        <w:t xml:space="preserve"> – examples include the following</w:t>
      </w:r>
      <w:r>
        <w:t>.  First there is a general public interest in the occupations</w:t>
      </w:r>
      <w:r w:rsidR="0039321F">
        <w:t xml:space="preserve"> that were</w:t>
      </w:r>
      <w:r>
        <w:t xml:space="preserve"> most at risk of death from Covid-19.  Second the bulletin above was published around the time government made its</w:t>
      </w:r>
      <w:r w:rsidR="00A16F97">
        <w:t xml:space="preserve"> </w:t>
      </w:r>
      <w:r w:rsidR="00D53AA1">
        <w:t>initial</w:t>
      </w:r>
      <w:r>
        <w:t xml:space="preserve"> decisions on which occupations would receive priority for Covid-19 vaccinations</w:t>
      </w:r>
      <w:r w:rsidR="00A16F97">
        <w:t xml:space="preserve"> </w:t>
      </w:r>
      <w:r w:rsidR="00A16F97" w:rsidRPr="00162508">
        <w:t>and</w:t>
      </w:r>
      <w:r w:rsidR="00061099">
        <w:t xml:space="preserve"> the underlying analysis</w:t>
      </w:r>
      <w:r w:rsidR="00A16F97" w:rsidRPr="00162508">
        <w:t xml:space="preserve"> may have influenced those decisions and subsequent decisions on, for example, priority for booster vaccinations</w:t>
      </w:r>
      <w:r>
        <w:t>.  Third</w:t>
      </w:r>
      <w:r w:rsidR="00162508">
        <w:t xml:space="preserve">, </w:t>
      </w:r>
      <w:hyperlink r:id="rId10" w:history="1">
        <w:r w:rsidR="00162508" w:rsidRPr="00162508">
          <w:rPr>
            <w:rStyle w:val="Hyperlink"/>
          </w:rPr>
          <w:t>government policy</w:t>
        </w:r>
      </w:hyperlink>
      <w:r w:rsidR="00162508">
        <w:t xml:space="preserve"> </w:t>
      </w:r>
      <w:r w:rsidR="008A496A">
        <w:t xml:space="preserve">from the end of 2021 </w:t>
      </w:r>
      <w:r w:rsidR="00162508">
        <w:t>to encourage retired teachers back into schools because of the high infection rates amongst teachers may also have been influenced by the bulletin.</w:t>
      </w:r>
      <w:r w:rsidR="008D6BA6">
        <w:t xml:space="preserve">  F</w:t>
      </w:r>
      <w:r w:rsidR="00915C16">
        <w:t xml:space="preserve">ourth, </w:t>
      </w:r>
      <w:r w:rsidR="008D6BA6">
        <w:t xml:space="preserve">there has been arguably </w:t>
      </w:r>
      <w:r w:rsidR="004422DB">
        <w:t xml:space="preserve">poorly </w:t>
      </w:r>
      <w:r w:rsidR="008D6BA6">
        <w:t>informed public criticism of the use of lockdowns in schools which would have benefited from the publication of statistics on deaths from Covid-19.</w:t>
      </w:r>
      <w:r w:rsidR="00B35675">
        <w:t xml:space="preserve"> </w:t>
      </w:r>
      <w:r w:rsidR="00162508">
        <w:t xml:space="preserve"> </w:t>
      </w:r>
      <w:r w:rsidR="00B35675">
        <w:t>F</w:t>
      </w:r>
      <w:r w:rsidR="00915C16">
        <w:t>if</w:t>
      </w:r>
      <w:r w:rsidR="00B35675">
        <w:t>th,</w:t>
      </w:r>
      <w:r>
        <w:t xml:space="preserve"> the inquiry into the Covid-19 pandemic would be expected to be interested in</w:t>
      </w:r>
      <w:r w:rsidR="00A16F97">
        <w:t xml:space="preserve"> </w:t>
      </w:r>
      <w:r w:rsidR="00A16F97" w:rsidRPr="00162508">
        <w:t>the</w:t>
      </w:r>
      <w:r w:rsidR="00915C16">
        <w:t xml:space="preserve"> availability and</w:t>
      </w:r>
      <w:r w:rsidR="00A16F97" w:rsidRPr="00162508">
        <w:t xml:space="preserve"> quality of</w:t>
      </w:r>
      <w:r>
        <w:t xml:space="preserve"> ONS statistics including deaths by occupation.</w:t>
      </w:r>
    </w:p>
    <w:p w:rsidR="003D4212" w:rsidRDefault="003D4212" w:rsidP="003D4212"/>
    <w:p w:rsidR="003D4212" w:rsidRDefault="003D4212" w:rsidP="003D4212">
      <w:r>
        <w:t>There are broadly three methodology issues with the analysis of Covid-19 deaths by occupation which are evident in the above bulletin.</w:t>
      </w:r>
    </w:p>
    <w:p w:rsidR="00AE4DD0" w:rsidRDefault="00AE4DD0" w:rsidP="003D4212"/>
    <w:p w:rsidR="003D4212" w:rsidRDefault="003D4212" w:rsidP="003D4212">
      <w:pPr>
        <w:pStyle w:val="ListParagraph"/>
        <w:numPr>
          <w:ilvl w:val="0"/>
          <w:numId w:val="1"/>
        </w:numPr>
      </w:pPr>
      <w:r>
        <w:t>The long period of the analysis from 9</w:t>
      </w:r>
      <w:r w:rsidRPr="006960E2">
        <w:rPr>
          <w:vertAlign w:val="superscript"/>
        </w:rPr>
        <w:t>th</w:t>
      </w:r>
      <w:r>
        <w:t xml:space="preserve"> March to 28</w:t>
      </w:r>
      <w:r w:rsidRPr="006960E2">
        <w:rPr>
          <w:vertAlign w:val="superscript"/>
        </w:rPr>
        <w:t>th</w:t>
      </w:r>
      <w:r>
        <w:t xml:space="preserve"> December is unsuited to comparison across the main occupation groups </w:t>
      </w:r>
      <w:r w:rsidR="00312CE5">
        <w:t xml:space="preserve">in the bulletin </w:t>
      </w:r>
      <w:r>
        <w:t xml:space="preserve">– </w:t>
      </w:r>
      <w:r w:rsidRPr="009D579F">
        <w:t>health, social care and education</w:t>
      </w:r>
      <w:r>
        <w:t>;</w:t>
      </w:r>
    </w:p>
    <w:p w:rsidR="003D4212" w:rsidRDefault="003D4212" w:rsidP="003D4212">
      <w:pPr>
        <w:pStyle w:val="ListParagraph"/>
        <w:numPr>
          <w:ilvl w:val="0"/>
          <w:numId w:val="1"/>
        </w:numPr>
      </w:pPr>
      <w:r>
        <w:t>Inconsistent selections of Standard Occupational Codes (SOC) were used to define the three main occupation</w:t>
      </w:r>
      <w:r w:rsidR="008C1CBB">
        <w:t>al</w:t>
      </w:r>
      <w:r>
        <w:t xml:space="preserve"> groups used in the analysis;</w:t>
      </w:r>
    </w:p>
    <w:p w:rsidR="003D4212" w:rsidRDefault="003D4212" w:rsidP="003D4212">
      <w:pPr>
        <w:pStyle w:val="ListParagraph"/>
        <w:numPr>
          <w:ilvl w:val="0"/>
          <w:numId w:val="1"/>
        </w:numPr>
      </w:pPr>
      <w:r>
        <w:lastRenderedPageBreak/>
        <w:t>The</w:t>
      </w:r>
      <w:r w:rsidR="009C437F">
        <w:t xml:space="preserve"> rest</w:t>
      </w:r>
      <w:r w:rsidR="00295026">
        <w:t>r</w:t>
      </w:r>
      <w:r w:rsidR="009C437F">
        <w:t>icted</w:t>
      </w:r>
      <w:r>
        <w:t xml:space="preserve"> age range of 20-64 used in the analysis assume</w:t>
      </w:r>
      <w:r w:rsidR="006758AC">
        <w:t>d</w:t>
      </w:r>
      <w:r>
        <w:t xml:space="preserve"> an effective retirement age of 65 which is no longer the current norm as, for example, represented by the state pension age.</w:t>
      </w:r>
    </w:p>
    <w:p w:rsidR="003D4212" w:rsidRDefault="003D4212" w:rsidP="003D4212"/>
    <w:p w:rsidR="003D4212" w:rsidRDefault="003D4212" w:rsidP="003D4212">
      <w:r>
        <w:t>The long period of the</w:t>
      </w:r>
      <w:r w:rsidR="00142F3D">
        <w:t xml:space="preserve"> ONS</w:t>
      </w:r>
      <w:r>
        <w:t xml:space="preserve"> analysis includes very different patterns of times when the workplaces for the three main occupations were open.  The position is complicated given the wide range of working environments across health, social care and education occupations.  The following takes particular examples to illustrate the issue for the different occupations. </w:t>
      </w:r>
    </w:p>
    <w:p w:rsidR="003D4212" w:rsidRDefault="003D4212" w:rsidP="003D4212"/>
    <w:p w:rsidR="003D4212" w:rsidRDefault="003D4212" w:rsidP="003D4212">
      <w:r>
        <w:t xml:space="preserve">Hospitals and care homes, for example, would have been open 24/7 over the whole period.  In contrast during that period, schools, for example, were on holiday, under complete lockdown or phased return from lockdown for much of the time.  The detail is complex but it is possible that schools were effectively closed for up to half the period.  This means that whereas hospital workers were typically exposed to infection in their workplaces for the whole period school staff were exposed in their workplaces for a far smaller proportion of the period.  </w:t>
      </w:r>
      <w:r w:rsidR="00263C6B">
        <w:t>The availability of protective</w:t>
      </w:r>
      <w:r w:rsidR="0049310A">
        <w:t xml:space="preserve"> clothing and</w:t>
      </w:r>
      <w:r w:rsidR="00263C6B">
        <w:t xml:space="preserve"> equipment</w:t>
      </w:r>
      <w:r w:rsidR="00FA335B">
        <w:t xml:space="preserve"> (PPE)</w:t>
      </w:r>
      <w:r w:rsidR="00263C6B">
        <w:t xml:space="preserve"> would also have differed for the different occupations over the period</w:t>
      </w:r>
      <w:r w:rsidR="00142F3D">
        <w:t xml:space="preserve"> which would affect the risks</w:t>
      </w:r>
      <w:r w:rsidR="00263C6B">
        <w:t>.</w:t>
      </w:r>
    </w:p>
    <w:p w:rsidR="003D4212" w:rsidRDefault="003D4212" w:rsidP="003D4212"/>
    <w:p w:rsidR="003D4212" w:rsidRDefault="003D4212" w:rsidP="003D4212">
      <w:r>
        <w:t xml:space="preserve">A similar issue of lack of homogeneity over a long time period was identified in the </w:t>
      </w:r>
      <w:hyperlink r:id="rId11" w:history="1">
        <w:r w:rsidRPr="00032C98">
          <w:rPr>
            <w:rStyle w:val="Hyperlink"/>
          </w:rPr>
          <w:t xml:space="preserve"> letter from the OSR to ONS about Deaths involving COVID-19 by vaccination status</w:t>
        </w:r>
      </w:hyperlink>
      <w:r w:rsidR="00E173FE">
        <w:rPr>
          <w:rStyle w:val="Hyperlink"/>
        </w:rPr>
        <w:t xml:space="preserve"> </w:t>
      </w:r>
      <w:r w:rsidR="00E173FE">
        <w:rPr>
          <w:rStyle w:val="Hyperlink"/>
          <w:u w:val="none"/>
        </w:rPr>
        <w:t xml:space="preserve"> </w:t>
      </w:r>
      <w:r w:rsidR="00E173FE">
        <w:rPr>
          <w:rStyle w:val="Hyperlink"/>
          <w:color w:val="auto"/>
          <w:u w:val="none"/>
        </w:rPr>
        <w:t xml:space="preserve">dated </w:t>
      </w:r>
      <w:r w:rsidR="00E173FE" w:rsidRPr="00E173FE">
        <w:rPr>
          <w:rStyle w:val="Hyperlink"/>
          <w:color w:val="auto"/>
          <w:u w:val="none"/>
        </w:rPr>
        <w:t>25 November 2021</w:t>
      </w:r>
      <w:r>
        <w:t>.  In that case the OSR suggested that “…</w:t>
      </w:r>
      <w:r w:rsidRPr="00702682">
        <w:t>problems might have been avoided if,</w:t>
      </w:r>
      <w:r>
        <w:t xml:space="preserve"> </w:t>
      </w:r>
      <w:r w:rsidRPr="00702682">
        <w:t>instead of considering the whole period, age-standardised mortality rates and their ratios had been calculated over shorter intervals</w:t>
      </w:r>
      <w:r>
        <w:t>…”  The comparison between occupations is more complex not least because the lack of homogeneity is not simply between time periods but across</w:t>
      </w:r>
      <w:r w:rsidR="00F4321B">
        <w:t xml:space="preserve"> and within</w:t>
      </w:r>
      <w:r>
        <w:t xml:space="preserve"> occupations in the same time periods.  However the solution remains likely to require data on deaths by occupation to be available for shorter</w:t>
      </w:r>
      <w:r w:rsidR="00282A4D">
        <w:t xml:space="preserve"> time</w:t>
      </w:r>
      <w:r>
        <w:t xml:space="preserve"> intervals, a request that was refused by ONS.</w:t>
      </w:r>
      <w:bookmarkStart w:id="0" w:name="_GoBack"/>
      <w:bookmarkEnd w:id="0"/>
    </w:p>
    <w:p w:rsidR="003D4212" w:rsidRDefault="003D4212" w:rsidP="003D4212"/>
    <w:p w:rsidR="003D4212" w:rsidRDefault="003D4212" w:rsidP="003D4212">
      <w:r>
        <w:t xml:space="preserve">The second and third methodological issues are illustrated in the </w:t>
      </w:r>
      <w:r w:rsidR="00855AB3">
        <w:t xml:space="preserve">attached </w:t>
      </w:r>
      <w:r w:rsidR="00AA7980">
        <w:t>spread sheet</w:t>
      </w:r>
      <w:r>
        <w:t xml:space="preserve"> – source ONS published </w:t>
      </w:r>
      <w:hyperlink r:id="rId12" w:history="1">
        <w:r w:rsidRPr="00AA5932">
          <w:rPr>
            <w:rStyle w:val="Hyperlink"/>
          </w:rPr>
          <w:t>data file</w:t>
        </w:r>
      </w:hyperlink>
      <w:r>
        <w:t>.</w:t>
      </w:r>
    </w:p>
    <w:p w:rsidR="003D4212" w:rsidRDefault="003D4212" w:rsidP="003D4212"/>
    <w:p w:rsidR="003D4212" w:rsidRDefault="003D4212" w:rsidP="003D4212">
      <w:r>
        <w:t>For the second methodological issue the only educational occupations included in the main analysis</w:t>
      </w:r>
      <w:r w:rsidR="009C437F">
        <w:t xml:space="preserve"> of </w:t>
      </w:r>
      <w:r>
        <w:t>ages 20 to 64 were those classified as professional – SOC 2 digit code 23 – whereas health occupations included a wider range of occupations including</w:t>
      </w:r>
      <w:r w:rsidR="005947CB">
        <w:t>, for example,</w:t>
      </w:r>
      <w:r>
        <w:t xml:space="preserve"> hospital porters who suffered 18 Covid-19 deaths in the period.  The educational occupation with highest number of deaths was not amongst the professional occupations.  The highest number of deaths amongst the latter was amongst male “</w:t>
      </w:r>
      <w:r w:rsidRPr="00801121">
        <w:t>Secondary education teaching professionals</w:t>
      </w:r>
      <w:r>
        <w:t>” with 29 deaths whereas the highest number of deaths amongst all educational occupations in that age group was amongst female “</w:t>
      </w:r>
      <w:r w:rsidRPr="00E229DB">
        <w:t>Teaching assistants</w:t>
      </w:r>
      <w:r>
        <w:t>” with 37 deaths.</w:t>
      </w:r>
    </w:p>
    <w:p w:rsidR="003D4212" w:rsidRDefault="003D4212" w:rsidP="003D4212"/>
    <w:p w:rsidR="003D4212" w:rsidRDefault="003D4212" w:rsidP="003D4212">
      <w:r>
        <w:t>The third methodological issue relates to the choice of age range for the main analysis of ages 20 to 64.  This doesn’t reflect recent changes to the state pension age or to occupational pension schemes.  Many people tend to work beyond their 65</w:t>
      </w:r>
      <w:r w:rsidRPr="00AA5932">
        <w:rPr>
          <w:vertAlign w:val="superscript"/>
        </w:rPr>
        <w:t>th</w:t>
      </w:r>
      <w:r>
        <w:t xml:space="preserve"> birthday.  Those working post 65 would be a smaller population who are likely to be healthier than average for their age and </w:t>
      </w:r>
      <w:r>
        <w:lastRenderedPageBreak/>
        <w:t>thus less at risk from Covid-19.  They could also be more likely to work part time and have a lower exposure to the higher workplace risk.  This makes any analysis</w:t>
      </w:r>
      <w:r w:rsidR="00A66301">
        <w:t xml:space="preserve"> potentially</w:t>
      </w:r>
      <w:r>
        <w:t xml:space="preserve"> more complicated than for the younger age group but that doesn’t mean that they can be ignored.</w:t>
      </w:r>
    </w:p>
    <w:p w:rsidR="003D4212" w:rsidRDefault="003D4212" w:rsidP="003D4212"/>
    <w:p w:rsidR="003D4212" w:rsidRDefault="003D4212" w:rsidP="003D4212">
      <w:r>
        <w:t>The</w:t>
      </w:r>
      <w:r w:rsidRPr="00AA5932">
        <w:t xml:space="preserve"> 29 death</w:t>
      </w:r>
      <w:r>
        <w:t xml:space="preserve">s of male </w:t>
      </w:r>
      <w:r w:rsidRPr="00AA5932">
        <w:t xml:space="preserve">“Secondary education teaching professionals” </w:t>
      </w:r>
      <w:r>
        <w:t>in the age range 20 to 64 more than doubled to 77 for the 65+, and for female “</w:t>
      </w:r>
      <w:r w:rsidRPr="00322F2F">
        <w:t>Primary and nursery education teaching professionals</w:t>
      </w:r>
      <w:r>
        <w:t>” there is a similar increase from 19 to 52.  Covid-19 deaths of female “</w:t>
      </w:r>
      <w:r w:rsidRPr="003E7B15">
        <w:t>School midday and crossing patrol occupations</w:t>
      </w:r>
      <w:r>
        <w:t>”, or dinner and lollipop ladies in the vernacular, similarly more than doubled from 19 to 48.</w:t>
      </w:r>
    </w:p>
    <w:p w:rsidR="003D4212" w:rsidRDefault="003D4212" w:rsidP="003D4212"/>
    <w:p w:rsidR="003D4212" w:rsidRDefault="003D4212" w:rsidP="003D4212">
      <w:r>
        <w:t>The age range issue does not only affect education occupations.  In health, male hospital porter Covid-19 deaths doubled from 18 to 36, female nurses’ deaths increased,</w:t>
      </w:r>
      <w:r w:rsidR="0049310A">
        <w:t xml:space="preserve"> whereas</w:t>
      </w:r>
      <w:r>
        <w:t xml:space="preserve"> male medical practitioner</w:t>
      </w:r>
      <w:r w:rsidR="006571DF">
        <w:t>s</w:t>
      </w:r>
      <w:r>
        <w:t xml:space="preserve"> and female nursing auxiliaries had similar numbers of deaths.  In social care, male and female care workers</w:t>
      </w:r>
      <w:r w:rsidR="00E173FE">
        <w:t xml:space="preserve"> also</w:t>
      </w:r>
      <w:r>
        <w:t xml:space="preserve"> had a similar high number </w:t>
      </w:r>
      <w:r w:rsidR="00852EFD">
        <w:t>of deaths in both age ranges but t</w:t>
      </w:r>
      <w:r>
        <w:t>axi and bus drivers had high and increased numbers of deaths in the 65+ age range.</w:t>
      </w:r>
    </w:p>
    <w:p w:rsidR="003D4212" w:rsidRDefault="003D4212" w:rsidP="003D4212"/>
    <w:p w:rsidR="003D4212" w:rsidRDefault="003D4212" w:rsidP="003D4212">
      <w:r>
        <w:t>There may be some issues with the accuracy of the</w:t>
      </w:r>
      <w:r w:rsidR="00714DEF">
        <w:t xml:space="preserve"> reporting of</w:t>
      </w:r>
      <w:r>
        <w:t xml:space="preserve"> 65+ occupation data but the </w:t>
      </w:r>
      <w:hyperlink r:id="rId13" w:history="1">
        <w:r w:rsidRPr="00161F5A">
          <w:rPr>
            <w:rStyle w:val="Hyperlink"/>
          </w:rPr>
          <w:t>Registration of Death form</w:t>
        </w:r>
      </w:hyperlink>
      <w:r>
        <w:t xml:space="preserve"> asks both for occupation and whether the deceased is retired.</w:t>
      </w:r>
    </w:p>
    <w:p w:rsidR="003D4212" w:rsidRDefault="003D4212" w:rsidP="003D4212"/>
    <w:p w:rsidR="003D4212" w:rsidRDefault="003D4212" w:rsidP="003D4212">
      <w:r>
        <w:t xml:space="preserve">ONS were requested </w:t>
      </w:r>
      <w:r w:rsidRPr="00382CDD">
        <w:t>in late January 2021</w:t>
      </w:r>
      <w:r>
        <w:t xml:space="preserve"> </w:t>
      </w:r>
      <w:r w:rsidR="001F11FD">
        <w:t>to provide</w:t>
      </w:r>
      <w:r>
        <w:t xml:space="preserve"> data for the analysis period covering shorter intervals so that the pattern of deaths between the three main occupation groups could be explored.  ONS routinely publish deaths data weekly so there is a template available but the request, which was flexible in terms of the length of that shorter interval, was refused.</w:t>
      </w:r>
      <w:r w:rsidRPr="00382CDD">
        <w:t xml:space="preserve"> </w:t>
      </w:r>
      <w:r>
        <w:t xml:space="preserve">  ONS </w:t>
      </w:r>
      <w:r w:rsidR="00CE4E26">
        <w:t>trea</w:t>
      </w:r>
      <w:r>
        <w:t xml:space="preserve">ted the request </w:t>
      </w:r>
      <w:r w:rsidR="00CE4E26">
        <w:t>as</w:t>
      </w:r>
      <w:r>
        <w:t xml:space="preserve"> a </w:t>
      </w:r>
      <w:proofErr w:type="spellStart"/>
      <w:r>
        <w:t>FoI</w:t>
      </w:r>
      <w:proofErr w:type="spellEnd"/>
      <w:r>
        <w:t xml:space="preserve"> request which </w:t>
      </w:r>
      <w:r w:rsidRPr="00382CDD">
        <w:t>eventually culminat</w:t>
      </w:r>
      <w:r>
        <w:t>ed</w:t>
      </w:r>
      <w:r w:rsidRPr="00382CDD">
        <w:t xml:space="preserve"> 6 months later with a final </w:t>
      </w:r>
      <w:proofErr w:type="spellStart"/>
      <w:r w:rsidRPr="00382CDD">
        <w:t>FoI</w:t>
      </w:r>
      <w:proofErr w:type="spellEnd"/>
      <w:r w:rsidRPr="00382CDD">
        <w:t xml:space="preserve"> appeal refusal in July 2021.  </w:t>
      </w:r>
    </w:p>
    <w:p w:rsidR="003D4212" w:rsidRDefault="003D4212" w:rsidP="003D4212"/>
    <w:p w:rsidR="003D4212" w:rsidRDefault="00FA335B" w:rsidP="007A6093">
      <w:r>
        <w:t>Arguably the issue is less that errors were made in the analysis th</w:t>
      </w:r>
      <w:r w:rsidR="00F12425">
        <w:t>a</w:t>
      </w:r>
      <w:r>
        <w:t>n the refusal to acknowledge the issues and the discontinuation of the bulletin series which</w:t>
      </w:r>
      <w:r w:rsidRPr="00FA335B">
        <w:t xml:space="preserve"> potentially</w:t>
      </w:r>
      <w:r w:rsidR="007A6093">
        <w:t xml:space="preserve"> could </w:t>
      </w:r>
      <w:r w:rsidR="007758AA">
        <w:t>suggest</w:t>
      </w:r>
      <w:r w:rsidRPr="00FA335B">
        <w:t xml:space="preserve"> a problem </w:t>
      </w:r>
      <w:r w:rsidR="007A6093">
        <w:t>in</w:t>
      </w:r>
      <w:r w:rsidRPr="00FA335B">
        <w:t xml:space="preserve"> any future pandemic if </w:t>
      </w:r>
      <w:r w:rsidR="00F12425">
        <w:t>the trustworthiness of ONS</w:t>
      </w:r>
      <w:r w:rsidRPr="00FA335B">
        <w:t xml:space="preserve"> statistics and statisticians</w:t>
      </w:r>
      <w:r w:rsidR="00F12425">
        <w:t xml:space="preserve"> is in doubt</w:t>
      </w:r>
      <w:r w:rsidRPr="00FA335B">
        <w:t>.</w:t>
      </w:r>
    </w:p>
    <w:p w:rsidR="003D4212" w:rsidRDefault="003D4212" w:rsidP="003D4212"/>
    <w:p w:rsidR="003D4212" w:rsidRDefault="003D4212" w:rsidP="003D4212">
      <w:r>
        <w:t>Arthur Barnett</w:t>
      </w:r>
    </w:p>
    <w:p w:rsidR="00E34514" w:rsidRDefault="00E34514"/>
    <w:sectPr w:rsidR="00E3451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E10" w:rsidRDefault="00F50E10" w:rsidP="003D4212">
      <w:pPr>
        <w:spacing w:line="240" w:lineRule="auto"/>
      </w:pPr>
      <w:r>
        <w:separator/>
      </w:r>
    </w:p>
  </w:endnote>
  <w:endnote w:type="continuationSeparator" w:id="0">
    <w:p w:rsidR="00F50E10" w:rsidRDefault="00F50E10" w:rsidP="003D4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514" w:rsidRDefault="00E34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E10" w:rsidRDefault="00F50E10" w:rsidP="003D4212">
      <w:pPr>
        <w:spacing w:line="240" w:lineRule="auto"/>
      </w:pPr>
      <w:r>
        <w:separator/>
      </w:r>
    </w:p>
  </w:footnote>
  <w:footnote w:type="continuationSeparator" w:id="0">
    <w:p w:rsidR="00F50E10" w:rsidRDefault="00F50E10" w:rsidP="003D42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1DFD"/>
    <w:multiLevelType w:val="hybridMultilevel"/>
    <w:tmpl w:val="6BD0A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103099"/>
    <w:multiLevelType w:val="hybridMultilevel"/>
    <w:tmpl w:val="3998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12"/>
    <w:rsid w:val="000512EC"/>
    <w:rsid w:val="00057BE8"/>
    <w:rsid w:val="00061099"/>
    <w:rsid w:val="00081969"/>
    <w:rsid w:val="001040B7"/>
    <w:rsid w:val="00142F3D"/>
    <w:rsid w:val="00150526"/>
    <w:rsid w:val="00161F5A"/>
    <w:rsid w:val="00162508"/>
    <w:rsid w:val="001C58D6"/>
    <w:rsid w:val="001F11FD"/>
    <w:rsid w:val="001F7FC6"/>
    <w:rsid w:val="00253D3E"/>
    <w:rsid w:val="00263C6B"/>
    <w:rsid w:val="00282A4D"/>
    <w:rsid w:val="00295026"/>
    <w:rsid w:val="00312CE5"/>
    <w:rsid w:val="00331B7E"/>
    <w:rsid w:val="00337DFE"/>
    <w:rsid w:val="00342FFD"/>
    <w:rsid w:val="0039321F"/>
    <w:rsid w:val="003D4212"/>
    <w:rsid w:val="003D53B9"/>
    <w:rsid w:val="004422DB"/>
    <w:rsid w:val="00470756"/>
    <w:rsid w:val="0049310A"/>
    <w:rsid w:val="004A17FA"/>
    <w:rsid w:val="005334D6"/>
    <w:rsid w:val="00546A9E"/>
    <w:rsid w:val="005947CB"/>
    <w:rsid w:val="005E469A"/>
    <w:rsid w:val="005F6E66"/>
    <w:rsid w:val="006371C5"/>
    <w:rsid w:val="006571DF"/>
    <w:rsid w:val="006758AC"/>
    <w:rsid w:val="00714DEF"/>
    <w:rsid w:val="00731265"/>
    <w:rsid w:val="0074162D"/>
    <w:rsid w:val="007713E8"/>
    <w:rsid w:val="007758AA"/>
    <w:rsid w:val="007A6093"/>
    <w:rsid w:val="007B0575"/>
    <w:rsid w:val="007B15A6"/>
    <w:rsid w:val="007C45DF"/>
    <w:rsid w:val="0082075F"/>
    <w:rsid w:val="008238D8"/>
    <w:rsid w:val="008518F1"/>
    <w:rsid w:val="00852EFD"/>
    <w:rsid w:val="00855AB3"/>
    <w:rsid w:val="00855BE3"/>
    <w:rsid w:val="008570AB"/>
    <w:rsid w:val="0086274A"/>
    <w:rsid w:val="00865075"/>
    <w:rsid w:val="008A496A"/>
    <w:rsid w:val="008C1CBB"/>
    <w:rsid w:val="008D6BA6"/>
    <w:rsid w:val="008F6454"/>
    <w:rsid w:val="00915C16"/>
    <w:rsid w:val="00940E39"/>
    <w:rsid w:val="00986FA5"/>
    <w:rsid w:val="009B0184"/>
    <w:rsid w:val="009C437F"/>
    <w:rsid w:val="009D473A"/>
    <w:rsid w:val="00A16F97"/>
    <w:rsid w:val="00A32F0E"/>
    <w:rsid w:val="00A467C5"/>
    <w:rsid w:val="00A66301"/>
    <w:rsid w:val="00A755EC"/>
    <w:rsid w:val="00AA7980"/>
    <w:rsid w:val="00AC111C"/>
    <w:rsid w:val="00AE4DD0"/>
    <w:rsid w:val="00B17E6E"/>
    <w:rsid w:val="00B35675"/>
    <w:rsid w:val="00B4117B"/>
    <w:rsid w:val="00B44F4B"/>
    <w:rsid w:val="00B92B5E"/>
    <w:rsid w:val="00C4728F"/>
    <w:rsid w:val="00C73322"/>
    <w:rsid w:val="00CA1B7D"/>
    <w:rsid w:val="00CE4114"/>
    <w:rsid w:val="00CE4E26"/>
    <w:rsid w:val="00D420AB"/>
    <w:rsid w:val="00D53AA1"/>
    <w:rsid w:val="00DD61E1"/>
    <w:rsid w:val="00DF4754"/>
    <w:rsid w:val="00E173FE"/>
    <w:rsid w:val="00E3070C"/>
    <w:rsid w:val="00E34514"/>
    <w:rsid w:val="00E65770"/>
    <w:rsid w:val="00E66EC1"/>
    <w:rsid w:val="00EA17F9"/>
    <w:rsid w:val="00ED5E82"/>
    <w:rsid w:val="00F12425"/>
    <w:rsid w:val="00F4321B"/>
    <w:rsid w:val="00F50E10"/>
    <w:rsid w:val="00F71902"/>
    <w:rsid w:val="00F90F92"/>
    <w:rsid w:val="00FA3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212"/>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212"/>
    <w:pPr>
      <w:ind w:left="720"/>
      <w:contextualSpacing/>
    </w:pPr>
  </w:style>
  <w:style w:type="character" w:styleId="Hyperlink">
    <w:name w:val="Hyperlink"/>
    <w:basedOn w:val="DefaultParagraphFont"/>
    <w:uiPriority w:val="99"/>
    <w:unhideWhenUsed/>
    <w:rsid w:val="003D4212"/>
    <w:rPr>
      <w:color w:val="0000FF" w:themeColor="hyperlink"/>
      <w:u w:val="single"/>
    </w:rPr>
  </w:style>
  <w:style w:type="paragraph" w:styleId="Header">
    <w:name w:val="header"/>
    <w:basedOn w:val="Normal"/>
    <w:link w:val="HeaderChar"/>
    <w:uiPriority w:val="99"/>
    <w:unhideWhenUsed/>
    <w:rsid w:val="003D4212"/>
    <w:pPr>
      <w:tabs>
        <w:tab w:val="center" w:pos="4513"/>
        <w:tab w:val="right" w:pos="9026"/>
      </w:tabs>
      <w:spacing w:line="240" w:lineRule="auto"/>
    </w:pPr>
  </w:style>
  <w:style w:type="character" w:customStyle="1" w:styleId="HeaderChar">
    <w:name w:val="Header Char"/>
    <w:basedOn w:val="DefaultParagraphFont"/>
    <w:link w:val="Header"/>
    <w:uiPriority w:val="99"/>
    <w:rsid w:val="003D4212"/>
    <w:rPr>
      <w:rFonts w:ascii="Times New Roman" w:hAnsi="Times New Roman"/>
      <w:sz w:val="24"/>
    </w:rPr>
  </w:style>
  <w:style w:type="paragraph" w:styleId="Footer">
    <w:name w:val="footer"/>
    <w:basedOn w:val="Normal"/>
    <w:link w:val="FooterChar"/>
    <w:uiPriority w:val="99"/>
    <w:unhideWhenUsed/>
    <w:rsid w:val="003D4212"/>
    <w:pPr>
      <w:tabs>
        <w:tab w:val="center" w:pos="4513"/>
        <w:tab w:val="right" w:pos="9026"/>
      </w:tabs>
      <w:spacing w:line="240" w:lineRule="auto"/>
    </w:pPr>
  </w:style>
  <w:style w:type="character" w:customStyle="1" w:styleId="FooterChar">
    <w:name w:val="Footer Char"/>
    <w:basedOn w:val="DefaultParagraphFont"/>
    <w:link w:val="Footer"/>
    <w:uiPriority w:val="99"/>
    <w:rsid w:val="003D4212"/>
    <w:rPr>
      <w:rFonts w:ascii="Times New Roman" w:hAnsi="Times New Roman"/>
      <w:sz w:val="24"/>
    </w:rPr>
  </w:style>
  <w:style w:type="paragraph" w:styleId="BalloonText">
    <w:name w:val="Balloon Text"/>
    <w:basedOn w:val="Normal"/>
    <w:link w:val="BalloonTextChar"/>
    <w:uiPriority w:val="99"/>
    <w:semiHidden/>
    <w:unhideWhenUsed/>
    <w:rsid w:val="003D42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2"/>
    <w:rPr>
      <w:rFonts w:ascii="Tahoma" w:hAnsi="Tahoma" w:cs="Tahoma"/>
      <w:sz w:val="16"/>
      <w:szCs w:val="16"/>
    </w:rPr>
  </w:style>
  <w:style w:type="character" w:styleId="FollowedHyperlink">
    <w:name w:val="FollowedHyperlink"/>
    <w:basedOn w:val="DefaultParagraphFont"/>
    <w:uiPriority w:val="99"/>
    <w:semiHidden/>
    <w:unhideWhenUsed/>
    <w:rsid w:val="00B356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212"/>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212"/>
    <w:pPr>
      <w:ind w:left="720"/>
      <w:contextualSpacing/>
    </w:pPr>
  </w:style>
  <w:style w:type="character" w:styleId="Hyperlink">
    <w:name w:val="Hyperlink"/>
    <w:basedOn w:val="DefaultParagraphFont"/>
    <w:uiPriority w:val="99"/>
    <w:unhideWhenUsed/>
    <w:rsid w:val="003D4212"/>
    <w:rPr>
      <w:color w:val="0000FF" w:themeColor="hyperlink"/>
      <w:u w:val="single"/>
    </w:rPr>
  </w:style>
  <w:style w:type="paragraph" w:styleId="Header">
    <w:name w:val="header"/>
    <w:basedOn w:val="Normal"/>
    <w:link w:val="HeaderChar"/>
    <w:uiPriority w:val="99"/>
    <w:unhideWhenUsed/>
    <w:rsid w:val="003D4212"/>
    <w:pPr>
      <w:tabs>
        <w:tab w:val="center" w:pos="4513"/>
        <w:tab w:val="right" w:pos="9026"/>
      </w:tabs>
      <w:spacing w:line="240" w:lineRule="auto"/>
    </w:pPr>
  </w:style>
  <w:style w:type="character" w:customStyle="1" w:styleId="HeaderChar">
    <w:name w:val="Header Char"/>
    <w:basedOn w:val="DefaultParagraphFont"/>
    <w:link w:val="Header"/>
    <w:uiPriority w:val="99"/>
    <w:rsid w:val="003D4212"/>
    <w:rPr>
      <w:rFonts w:ascii="Times New Roman" w:hAnsi="Times New Roman"/>
      <w:sz w:val="24"/>
    </w:rPr>
  </w:style>
  <w:style w:type="paragraph" w:styleId="Footer">
    <w:name w:val="footer"/>
    <w:basedOn w:val="Normal"/>
    <w:link w:val="FooterChar"/>
    <w:uiPriority w:val="99"/>
    <w:unhideWhenUsed/>
    <w:rsid w:val="003D4212"/>
    <w:pPr>
      <w:tabs>
        <w:tab w:val="center" w:pos="4513"/>
        <w:tab w:val="right" w:pos="9026"/>
      </w:tabs>
      <w:spacing w:line="240" w:lineRule="auto"/>
    </w:pPr>
  </w:style>
  <w:style w:type="character" w:customStyle="1" w:styleId="FooterChar">
    <w:name w:val="Footer Char"/>
    <w:basedOn w:val="DefaultParagraphFont"/>
    <w:link w:val="Footer"/>
    <w:uiPriority w:val="99"/>
    <w:rsid w:val="003D4212"/>
    <w:rPr>
      <w:rFonts w:ascii="Times New Roman" w:hAnsi="Times New Roman"/>
      <w:sz w:val="24"/>
    </w:rPr>
  </w:style>
  <w:style w:type="paragraph" w:styleId="BalloonText">
    <w:name w:val="Balloon Text"/>
    <w:basedOn w:val="Normal"/>
    <w:link w:val="BalloonTextChar"/>
    <w:uiPriority w:val="99"/>
    <w:semiHidden/>
    <w:unhideWhenUsed/>
    <w:rsid w:val="003D42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2"/>
    <w:rPr>
      <w:rFonts w:ascii="Tahoma" w:hAnsi="Tahoma" w:cs="Tahoma"/>
      <w:sz w:val="16"/>
      <w:szCs w:val="16"/>
    </w:rPr>
  </w:style>
  <w:style w:type="character" w:styleId="FollowedHyperlink">
    <w:name w:val="FollowedHyperlink"/>
    <w:basedOn w:val="DefaultParagraphFont"/>
    <w:uiPriority w:val="99"/>
    <w:semiHidden/>
    <w:unhideWhenUsed/>
    <w:rsid w:val="00B356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healthandsocialcare/causesofdeath/bulletins/coronaviruscovid19relateddeathsbyoccupationenglandandwales/deathsregisteredbetween9marchand28december2020" TargetMode="External"/><Relationship Id="rId13" Type="http://schemas.openxmlformats.org/officeDocument/2006/relationships/hyperlink" Target="https://www.nidirect.gov.uk/sites/default/files/2021-08/death-registration-form-gro73-v08.2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ns.gov.uk/file?uri=/peoplepopulationandcommunity/healthandsocialcare/causesofdeath/datasets/coronaviruscovid19relateddeathsbyoccupationenglandandwales/current/reftablesfinal.xls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sr.statisticsauthority.gov.uk/correspondence/ed-humpherson-to-emma-rourke-ons-deaths-involving-covid-19-by-vaccination-status-public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bc.co.uk/news/education-59761859" TargetMode="External"/><Relationship Id="rId4" Type="http://schemas.openxmlformats.org/officeDocument/2006/relationships/settings" Target="settings.xml"/><Relationship Id="rId9" Type="http://schemas.openxmlformats.org/officeDocument/2006/relationships/hyperlink" Target="https://publications.parliament.uk/pa/cm201719/cmselect/cmpubadm/1820/182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Barnett</dc:creator>
  <cp:lastModifiedBy>Arthur Barnett</cp:lastModifiedBy>
  <cp:revision>6</cp:revision>
  <dcterms:created xsi:type="dcterms:W3CDTF">2025-05-13T14:42:00Z</dcterms:created>
  <dcterms:modified xsi:type="dcterms:W3CDTF">2025-05-13T14:55:00Z</dcterms:modified>
</cp:coreProperties>
</file>